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6889D1">
      <w:pPr>
        <w:pStyle w:val="3"/>
        <w:spacing w:before="54"/>
        <w:ind w:left="386"/>
        <w:rPr>
          <w:rFonts w:hint="eastAsia" w:ascii="黑体" w:eastAsia="黑体"/>
          <w:lang w:val="en-US" w:eastAsia="zh-CN"/>
        </w:rPr>
      </w:pPr>
      <w:r>
        <w:rPr>
          <w:rFonts w:hint="eastAsia" w:ascii="黑体" w:eastAsia="黑体"/>
        </w:rPr>
        <w:t>附件</w:t>
      </w:r>
      <w:r>
        <w:rPr>
          <w:rFonts w:hint="eastAsia" w:ascii="黑体" w:eastAsia="黑体"/>
          <w:lang w:val="en-US" w:eastAsia="zh-CN"/>
        </w:rPr>
        <w:t>3</w:t>
      </w:r>
    </w:p>
    <w:p w14:paraId="28F5C858">
      <w:pPr>
        <w:pStyle w:val="2"/>
        <w:spacing w:before="33"/>
      </w:pPr>
      <w:r>
        <w:t>职称系列专业类别对应技能类职业</w:t>
      </w:r>
    </w:p>
    <w:p w14:paraId="7DD1C7BC">
      <w:pPr>
        <w:spacing w:before="28"/>
        <w:ind w:left="407" w:right="411" w:firstLine="0"/>
        <w:jc w:val="center"/>
        <w:rPr>
          <w:sz w:val="40"/>
        </w:rPr>
      </w:pPr>
      <w:r>
        <w:rPr>
          <w:sz w:val="40"/>
        </w:rPr>
        <w:t>（工种）指导目录</w:t>
      </w:r>
    </w:p>
    <w:p w14:paraId="441F22FF">
      <w:pPr>
        <w:pStyle w:val="3"/>
        <w:spacing w:before="4"/>
        <w:rPr>
          <w:sz w:val="21"/>
        </w:rPr>
      </w:pPr>
    </w:p>
    <w:tbl>
      <w:tblPr>
        <w:tblStyle w:val="4"/>
        <w:tblW w:w="8957" w:type="dxa"/>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3"/>
        <w:gridCol w:w="558"/>
        <w:gridCol w:w="1017"/>
        <w:gridCol w:w="5145"/>
        <w:gridCol w:w="1704"/>
      </w:tblGrid>
      <w:tr w14:paraId="12A182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4" w:hRule="atLeast"/>
        </w:trPr>
        <w:tc>
          <w:tcPr>
            <w:tcW w:w="533" w:type="dxa"/>
            <w:vAlign w:val="center"/>
          </w:tcPr>
          <w:p w14:paraId="27252DEA">
            <w:pPr>
              <w:pStyle w:val="6"/>
              <w:keepNext w:val="0"/>
              <w:keepLines w:val="0"/>
              <w:suppressLineNumbers w:val="0"/>
              <w:spacing w:before="5" w:beforeAutospacing="0" w:afterAutospacing="0"/>
              <w:jc w:val="center"/>
              <w:rPr>
                <w:rFonts w:hint="default"/>
                <w:kern w:val="2"/>
                <w:sz w:val="20"/>
              </w:rPr>
            </w:pPr>
          </w:p>
          <w:p w14:paraId="5F59DB10">
            <w:pPr>
              <w:pStyle w:val="6"/>
              <w:keepNext w:val="0"/>
              <w:keepLines w:val="0"/>
              <w:suppressLineNumbers w:val="0"/>
              <w:spacing w:before="1" w:beforeAutospacing="0" w:afterAutospacing="0"/>
              <w:ind w:left="37"/>
              <w:jc w:val="center"/>
              <w:rPr>
                <w:rFonts w:hint="eastAsia" w:ascii="黑体" w:eastAsia="黑体"/>
                <w:kern w:val="2"/>
                <w:sz w:val="24"/>
              </w:rPr>
            </w:pPr>
            <w:r>
              <w:rPr>
                <w:rFonts w:hint="eastAsia" w:ascii="黑体" w:eastAsia="黑体"/>
                <w:kern w:val="2"/>
                <w:sz w:val="24"/>
              </w:rPr>
              <w:t>序号</w:t>
            </w:r>
          </w:p>
        </w:tc>
        <w:tc>
          <w:tcPr>
            <w:tcW w:w="558" w:type="dxa"/>
            <w:vAlign w:val="center"/>
          </w:tcPr>
          <w:p w14:paraId="0A26842F">
            <w:pPr>
              <w:pStyle w:val="6"/>
              <w:keepNext w:val="0"/>
              <w:keepLines w:val="0"/>
              <w:suppressLineNumbers w:val="0"/>
              <w:spacing w:before="60" w:beforeAutospacing="0" w:afterAutospacing="0"/>
              <w:ind w:left="52"/>
              <w:jc w:val="center"/>
              <w:rPr>
                <w:rFonts w:hint="eastAsia" w:ascii="黑体" w:eastAsia="黑体"/>
                <w:kern w:val="2"/>
                <w:sz w:val="24"/>
              </w:rPr>
            </w:pPr>
            <w:r>
              <w:rPr>
                <w:rFonts w:hint="eastAsia" w:ascii="黑体" w:eastAsia="黑体"/>
                <w:kern w:val="2"/>
                <w:sz w:val="24"/>
              </w:rPr>
              <w:t>职称</w:t>
            </w:r>
          </w:p>
          <w:p w14:paraId="684810CE">
            <w:pPr>
              <w:pStyle w:val="6"/>
              <w:keepNext w:val="0"/>
              <w:keepLines w:val="0"/>
              <w:suppressLineNumbers w:val="0"/>
              <w:spacing w:before="94" w:beforeAutospacing="0" w:afterAutospacing="0"/>
              <w:ind w:left="52"/>
              <w:jc w:val="center"/>
              <w:rPr>
                <w:rFonts w:hint="eastAsia" w:ascii="黑体" w:eastAsia="黑体"/>
                <w:kern w:val="2"/>
                <w:sz w:val="24"/>
              </w:rPr>
            </w:pPr>
            <w:r>
              <w:rPr>
                <w:rFonts w:hint="eastAsia" w:ascii="黑体" w:eastAsia="黑体"/>
                <w:kern w:val="2"/>
                <w:sz w:val="24"/>
              </w:rPr>
              <w:t>系列</w:t>
            </w:r>
          </w:p>
        </w:tc>
        <w:tc>
          <w:tcPr>
            <w:tcW w:w="1017" w:type="dxa"/>
            <w:vAlign w:val="center"/>
          </w:tcPr>
          <w:p w14:paraId="1F0B2AA8">
            <w:pPr>
              <w:pStyle w:val="6"/>
              <w:keepNext w:val="0"/>
              <w:keepLines w:val="0"/>
              <w:suppressLineNumbers w:val="0"/>
              <w:spacing w:before="60" w:beforeAutospacing="0" w:afterAutospacing="0"/>
              <w:ind w:left="33" w:right="24"/>
              <w:jc w:val="center"/>
              <w:rPr>
                <w:rFonts w:hint="eastAsia" w:ascii="黑体" w:eastAsia="黑体"/>
                <w:kern w:val="2"/>
                <w:sz w:val="24"/>
              </w:rPr>
            </w:pPr>
            <w:r>
              <w:rPr>
                <w:rFonts w:hint="eastAsia" w:ascii="黑体" w:eastAsia="黑体"/>
                <w:kern w:val="2"/>
                <w:sz w:val="24"/>
              </w:rPr>
              <w:t>职称专业类别</w:t>
            </w:r>
          </w:p>
        </w:tc>
        <w:tc>
          <w:tcPr>
            <w:tcW w:w="5145" w:type="dxa"/>
            <w:vAlign w:val="center"/>
          </w:tcPr>
          <w:p w14:paraId="14706E09">
            <w:pPr>
              <w:pStyle w:val="6"/>
              <w:keepNext w:val="0"/>
              <w:keepLines w:val="0"/>
              <w:suppressLineNumbers w:val="0"/>
              <w:spacing w:before="5" w:beforeAutospacing="0" w:afterAutospacing="0"/>
              <w:jc w:val="center"/>
              <w:rPr>
                <w:rFonts w:hint="default"/>
                <w:kern w:val="2"/>
                <w:sz w:val="20"/>
              </w:rPr>
            </w:pPr>
          </w:p>
          <w:p w14:paraId="47DF9C5A">
            <w:pPr>
              <w:pStyle w:val="6"/>
              <w:keepNext w:val="0"/>
              <w:keepLines w:val="0"/>
              <w:suppressLineNumbers w:val="0"/>
              <w:spacing w:before="1" w:beforeAutospacing="0" w:afterAutospacing="0"/>
              <w:ind w:left="1491"/>
              <w:jc w:val="both"/>
              <w:rPr>
                <w:rFonts w:hint="eastAsia" w:ascii="黑体" w:eastAsia="黑体"/>
                <w:kern w:val="2"/>
                <w:sz w:val="24"/>
              </w:rPr>
            </w:pPr>
            <w:r>
              <w:rPr>
                <w:rFonts w:hint="eastAsia" w:ascii="黑体" w:eastAsia="黑体"/>
                <w:kern w:val="2"/>
                <w:sz w:val="24"/>
              </w:rPr>
              <w:t>技能类职业（工种）</w:t>
            </w:r>
          </w:p>
        </w:tc>
        <w:tc>
          <w:tcPr>
            <w:tcW w:w="1704" w:type="dxa"/>
            <w:vAlign w:val="center"/>
          </w:tcPr>
          <w:p w14:paraId="6B1A6657">
            <w:pPr>
              <w:pStyle w:val="6"/>
              <w:keepNext w:val="0"/>
              <w:keepLines w:val="0"/>
              <w:suppressLineNumbers w:val="0"/>
              <w:spacing w:before="60" w:beforeAutospacing="0" w:afterAutospacing="0"/>
              <w:ind w:left="40" w:right="30"/>
              <w:jc w:val="center"/>
              <w:rPr>
                <w:rFonts w:hint="eastAsia" w:ascii="黑体" w:eastAsia="黑体"/>
                <w:kern w:val="2"/>
                <w:sz w:val="24"/>
              </w:rPr>
            </w:pPr>
            <w:r>
              <w:rPr>
                <w:rFonts w:hint="eastAsia" w:ascii="黑体" w:eastAsia="黑体"/>
                <w:kern w:val="2"/>
                <w:sz w:val="24"/>
              </w:rPr>
              <w:t>负责的职称</w:t>
            </w:r>
          </w:p>
          <w:p w14:paraId="2DA4765C">
            <w:pPr>
              <w:pStyle w:val="6"/>
              <w:keepNext w:val="0"/>
              <w:keepLines w:val="0"/>
              <w:suppressLineNumbers w:val="0"/>
              <w:spacing w:before="60" w:beforeAutospacing="0" w:afterAutospacing="0"/>
              <w:ind w:left="40" w:right="30"/>
              <w:jc w:val="center"/>
              <w:rPr>
                <w:rFonts w:hint="eastAsia" w:ascii="黑体" w:eastAsia="黑体"/>
                <w:kern w:val="2"/>
                <w:sz w:val="24"/>
              </w:rPr>
            </w:pPr>
            <w:r>
              <w:rPr>
                <w:rFonts w:hint="eastAsia" w:ascii="黑体" w:eastAsia="黑体"/>
                <w:kern w:val="2"/>
                <w:sz w:val="24"/>
              </w:rPr>
              <w:t>评审委员会</w:t>
            </w:r>
          </w:p>
        </w:tc>
      </w:tr>
      <w:tr w14:paraId="5C84A1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0" w:hRule="atLeast"/>
        </w:trPr>
        <w:tc>
          <w:tcPr>
            <w:tcW w:w="533" w:type="dxa"/>
          </w:tcPr>
          <w:p w14:paraId="4619AB71">
            <w:pPr>
              <w:pStyle w:val="6"/>
              <w:keepNext w:val="0"/>
              <w:keepLines w:val="0"/>
              <w:suppressLineNumbers w:val="0"/>
              <w:spacing w:before="202" w:beforeAutospacing="0" w:afterAutospacing="0"/>
              <w:ind w:left="6"/>
              <w:jc w:val="center"/>
              <w:rPr>
                <w:rFonts w:hint="default"/>
                <w:color w:val="auto"/>
                <w:kern w:val="2"/>
                <w:sz w:val="24"/>
              </w:rPr>
            </w:pPr>
          </w:p>
        </w:tc>
        <w:tc>
          <w:tcPr>
            <w:tcW w:w="558" w:type="dxa"/>
            <w:vAlign w:val="center"/>
          </w:tcPr>
          <w:p w14:paraId="455025DB">
            <w:pPr>
              <w:pStyle w:val="6"/>
              <w:keepNext w:val="0"/>
              <w:keepLines w:val="0"/>
              <w:suppressLineNumbers w:val="0"/>
              <w:spacing w:beforeAutospacing="0" w:afterAutospacing="0" w:line="312" w:lineRule="auto"/>
              <w:ind w:left="52" w:right="40"/>
              <w:jc w:val="center"/>
              <w:rPr>
                <w:rFonts w:hint="eastAsia" w:ascii="仿宋_GB2312" w:hAnsi="仿宋_GB2312" w:eastAsia="仿宋_GB2312" w:cs="仿宋_GB2312"/>
                <w:color w:val="auto"/>
                <w:kern w:val="2"/>
                <w:sz w:val="24"/>
                <w:lang w:eastAsia="zh-CN"/>
              </w:rPr>
            </w:pPr>
            <w:r>
              <w:rPr>
                <w:rFonts w:hint="eastAsia" w:ascii="仿宋_GB2312" w:hAnsi="仿宋_GB2312" w:eastAsia="仿宋_GB2312" w:cs="仿宋_GB2312"/>
                <w:color w:val="auto"/>
                <w:kern w:val="2"/>
                <w:sz w:val="24"/>
                <w:lang w:eastAsia="zh-CN"/>
              </w:rPr>
              <w:t>工程技术人才</w:t>
            </w:r>
          </w:p>
        </w:tc>
        <w:tc>
          <w:tcPr>
            <w:tcW w:w="1017" w:type="dxa"/>
            <w:vAlign w:val="center"/>
          </w:tcPr>
          <w:p w14:paraId="58005497">
            <w:pPr>
              <w:pStyle w:val="6"/>
              <w:keepNext w:val="0"/>
              <w:keepLines w:val="0"/>
              <w:suppressLineNumbers w:val="0"/>
              <w:spacing w:beforeAutospacing="0" w:afterAutospacing="0"/>
              <w:jc w:val="left"/>
              <w:rPr>
                <w:rFonts w:hint="eastAsia" w:ascii="仿宋_GB2312" w:hAnsi="仿宋_GB2312" w:eastAsia="仿宋_GB2312" w:cs="仿宋_GB2312"/>
                <w:color w:val="auto"/>
                <w:kern w:val="2"/>
                <w:sz w:val="24"/>
                <w:lang w:eastAsia="zh-CN"/>
              </w:rPr>
            </w:pPr>
            <w:r>
              <w:rPr>
                <w:rFonts w:hint="eastAsia" w:ascii="仿宋_GB2312" w:hAnsi="仿宋_GB2312" w:eastAsia="仿宋_GB2312" w:cs="仿宋_GB2312"/>
                <w:color w:val="auto"/>
                <w:kern w:val="2"/>
                <w:sz w:val="24"/>
                <w:lang w:eastAsia="zh-CN"/>
              </w:rPr>
              <w:t>石油化工</w:t>
            </w:r>
          </w:p>
        </w:tc>
        <w:tc>
          <w:tcPr>
            <w:tcW w:w="5145" w:type="dxa"/>
            <w:vAlign w:val="center"/>
          </w:tcPr>
          <w:p w14:paraId="4FAA1A22">
            <w:pPr>
              <w:keepNext w:val="0"/>
              <w:keepLines w:val="0"/>
              <w:pageBreakBefore w:val="0"/>
              <w:widowControl/>
              <w:suppressLineNumbers w:val="0"/>
              <w:kinsoku/>
              <w:wordWrap/>
              <w:overflowPunct/>
              <w:topLinePunct w:val="0"/>
              <w:autoSpaceDE w:val="0"/>
              <w:autoSpaceDN w:val="0"/>
              <w:bidi w:val="0"/>
              <w:adjustRightInd/>
              <w:snapToGrid w:val="0"/>
              <w:spacing w:beforeAutospacing="0" w:afterAutospacing="0"/>
              <w:jc w:val="left"/>
              <w:textAlignment w:val="auto"/>
              <w:rPr>
                <w:rFonts w:hint="default"/>
                <w:color w:val="auto"/>
                <w:kern w:val="2"/>
                <w:sz w:val="24"/>
              </w:rPr>
            </w:pPr>
            <w:r>
              <w:rPr>
                <w:rFonts w:hint="default" w:ascii="仿宋_GB2312" w:hAnsi="宋体" w:eastAsia="仿宋_GB2312" w:cs="仿宋_GB2312"/>
                <w:color w:val="auto"/>
                <w:kern w:val="0"/>
                <w:sz w:val="30"/>
                <w:szCs w:val="30"/>
                <w:lang w:val="en-US" w:eastAsia="zh-CN" w:bidi="ar"/>
              </w:rPr>
              <w:t>无机化学反应生产工、有机合成工、化工总控工、</w:t>
            </w:r>
            <w:r>
              <w:rPr>
                <w:rFonts w:hint="eastAsia" w:ascii="仿宋_GB2312" w:hAnsi="宋体" w:eastAsia="仿宋_GB2312" w:cs="仿宋_GB2312"/>
                <w:color w:val="auto"/>
                <w:kern w:val="0"/>
                <w:sz w:val="30"/>
                <w:szCs w:val="30"/>
                <w:lang w:val="en-US" w:eastAsia="zh-CN" w:bidi="ar"/>
              </w:rPr>
              <w:t>工业固体废物处理处置工、涂料生产工、染料生产工、农药生产工、合成氨生产工、尿素生产工、硫酸生产工、硝酸生产工、纯碱生产工、烧碱生产工、防腐蚀工、制冷工、水生产处理工、工业废水处理工、工业气体生产工、工业废气治理工、压缩机操作工等职业（工种）</w:t>
            </w:r>
            <w:r>
              <w:rPr>
                <w:rFonts w:hint="eastAsia" w:ascii="仿宋_GB2312" w:eastAsia="仿宋_GB2312" w:cs="仿宋_GB2312"/>
                <w:color w:val="auto"/>
                <w:kern w:val="0"/>
                <w:sz w:val="30"/>
                <w:szCs w:val="30"/>
                <w:lang w:val="en-US" w:eastAsia="zh-CN" w:bidi="ar"/>
              </w:rPr>
              <w:t>、化工仪表维修工、石油勘探工、钻井工、钻井协作工、油气水井测试工、油气输送工、油气管道维护工、燃气储运工、石油产品精制工、脂肪烃生产工。</w:t>
            </w:r>
          </w:p>
        </w:tc>
        <w:tc>
          <w:tcPr>
            <w:tcW w:w="1704" w:type="dxa"/>
            <w:vAlign w:val="center"/>
          </w:tcPr>
          <w:p w14:paraId="78A0A566">
            <w:pPr>
              <w:pStyle w:val="6"/>
              <w:keepNext w:val="0"/>
              <w:keepLines w:val="0"/>
              <w:suppressLineNumbers w:val="0"/>
              <w:spacing w:before="94" w:beforeAutospacing="0" w:afterAutospacing="0" w:line="240" w:lineRule="auto"/>
              <w:ind w:left="0" w:leftChars="0" w:right="47" w:firstLine="60" w:firstLineChars="0"/>
              <w:jc w:val="left"/>
              <w:rPr>
                <w:rFonts w:hint="eastAsia" w:eastAsia="宋体"/>
                <w:color w:val="auto"/>
                <w:kern w:val="2"/>
                <w:sz w:val="24"/>
                <w:lang w:eastAsia="zh-CN"/>
              </w:rPr>
            </w:pPr>
            <w:r>
              <w:rPr>
                <w:rFonts w:hint="eastAsia" w:ascii="仿宋_GB2312" w:hAnsi="仿宋_GB2312" w:eastAsia="仿宋_GB2312" w:cs="仿宋_GB2312"/>
                <w:color w:val="auto"/>
                <w:kern w:val="2"/>
                <w:sz w:val="28"/>
                <w:szCs w:val="28"/>
                <w:lang w:eastAsia="zh-CN"/>
              </w:rPr>
              <w:t>广东省工程系列石油和化工专业高级职称评审委员会</w:t>
            </w:r>
          </w:p>
        </w:tc>
      </w:tr>
    </w:tbl>
    <w:p w14:paraId="10FDBF7D">
      <w:pPr>
        <w:pStyle w:val="3"/>
        <w:spacing w:before="8"/>
        <w:rPr>
          <w:rFonts w:ascii="Times New Roman"/>
          <w:color w:val="auto"/>
          <w:sz w:val="24"/>
        </w:rPr>
      </w:pPr>
    </w:p>
    <w:p w14:paraId="53682680">
      <w:pPr>
        <w:keepNext w:val="0"/>
        <w:keepLines w:val="0"/>
        <w:pageBreakBefore w:val="0"/>
        <w:widowControl/>
        <w:suppressLineNumbers w:val="0"/>
        <w:kinsoku/>
        <w:wordWrap/>
        <w:overflowPunct/>
        <w:topLinePunct w:val="0"/>
        <w:autoSpaceDE w:val="0"/>
        <w:autoSpaceDN w:val="0"/>
        <w:bidi w:val="0"/>
        <w:adjustRightInd/>
        <w:snapToGrid w:val="0"/>
        <w:ind w:right="-220" w:rightChars="-1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注：  指导目录中所列技能类职业包括国家职业分类大典或国家职业技能标</w:t>
      </w:r>
    </w:p>
    <w:p w14:paraId="0AC99563">
      <w:pPr>
        <w:keepNext w:val="0"/>
        <w:keepLines w:val="0"/>
        <w:pageBreakBefore w:val="0"/>
        <w:widowControl/>
        <w:suppressLineNumbers w:val="0"/>
        <w:kinsoku/>
        <w:wordWrap/>
        <w:overflowPunct/>
        <w:topLinePunct w:val="0"/>
        <w:autoSpaceDE w:val="0"/>
        <w:autoSpaceDN w:val="0"/>
        <w:bidi w:val="0"/>
        <w:adjustRightInd/>
        <w:snapToGrid w:val="0"/>
        <w:ind w:right="-220" w:rightChars="-100"/>
        <w:jc w:val="both"/>
        <w:textAlignment w:val="auto"/>
        <w:rPr>
          <w:sz w:val="28"/>
          <w:szCs w:val="28"/>
        </w:rPr>
      </w:pPr>
      <w:r>
        <w:rPr>
          <w:rFonts w:hint="eastAsia" w:ascii="仿宋_GB2312" w:hAnsi="仿宋_GB2312" w:eastAsia="仿宋_GB2312" w:cs="仿宋_GB2312"/>
          <w:color w:val="auto"/>
          <w:sz w:val="28"/>
          <w:szCs w:val="28"/>
        </w:rPr>
        <w:t>准下列</w:t>
      </w:r>
      <w:r>
        <w:rPr>
          <w:rFonts w:hint="eastAsia" w:ascii="仿宋_GB2312" w:hAnsi="仿宋_GB2312" w:eastAsia="仿宋_GB2312" w:cs="仿宋_GB2312"/>
          <w:color w:val="auto"/>
          <w:sz w:val="28"/>
          <w:szCs w:val="28"/>
          <w:lang w:val="en-US" w:eastAsia="zh-CN"/>
        </w:rPr>
        <w:t>石油和化工相关</w:t>
      </w:r>
      <w:r>
        <w:rPr>
          <w:rFonts w:hint="eastAsia" w:ascii="仿宋_GB2312" w:hAnsi="仿宋_GB2312" w:eastAsia="仿宋_GB2312" w:cs="仿宋_GB2312"/>
          <w:color w:val="auto"/>
          <w:sz w:val="28"/>
          <w:szCs w:val="28"/>
        </w:rPr>
        <w:t>的工种</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lang w:val="en-US" w:eastAsia="zh-CN"/>
        </w:rPr>
        <w:t>对</w:t>
      </w:r>
      <w:r>
        <w:rPr>
          <w:rFonts w:hint="eastAsia" w:ascii="仿宋_GB2312" w:hAnsi="仿宋_GB2312" w:eastAsia="仿宋_GB2312" w:cs="仿宋_GB2312"/>
          <w:color w:val="auto"/>
          <w:sz w:val="28"/>
          <w:szCs w:val="28"/>
        </w:rPr>
        <w:t>国家职业分类大典或国家职业技能标准</w:t>
      </w:r>
      <w:r>
        <w:rPr>
          <w:rFonts w:hint="eastAsia" w:ascii="仿宋_GB2312" w:hAnsi="仿宋_GB2312" w:eastAsia="仿宋_GB2312" w:cs="仿宋_GB2312"/>
          <w:color w:val="auto"/>
          <w:sz w:val="28"/>
          <w:szCs w:val="28"/>
          <w:lang w:val="en-US" w:eastAsia="zh-CN"/>
        </w:rPr>
        <w:t>已取消的工种，在取消前所取得的技能证书，也包括在内</w:t>
      </w:r>
      <w:r>
        <w:rPr>
          <w:rFonts w:hint="eastAsia" w:ascii="仿宋_GB2312" w:hAnsi="仿宋_GB2312" w:eastAsia="仿宋_GB2312" w:cs="仿宋_GB2312"/>
          <w:color w:val="auto"/>
          <w:sz w:val="28"/>
          <w:szCs w:val="28"/>
        </w:rPr>
        <w:t>。</w:t>
      </w:r>
      <w:r>
        <w:rPr>
          <w:rFonts w:ascii="仿宋_GB2312" w:hAnsi="仿宋_GB2312" w:eastAsia="仿宋_GB2312" w:cs="仿宋_GB2312"/>
          <w:b w:val="0"/>
          <w:bCs w:val="0"/>
          <w:color w:val="auto"/>
          <w:kern w:val="0"/>
          <w:sz w:val="28"/>
          <w:szCs w:val="28"/>
          <w:lang w:val="en-US" w:eastAsia="zh-CN" w:bidi="ar"/>
        </w:rPr>
        <w:t xml:space="preserve">高技能人才参加专业技术职称评审，应向职称申报点 提交国家职业资格证书或职业技能等级证书（含 </w:t>
      </w:r>
      <w:r>
        <w:rPr>
          <w:rFonts w:ascii="TimesNewRomanPSMT" w:hAnsi="TimesNewRomanPSMT" w:eastAsia="TimesNewRomanPSMT" w:cs="TimesNewRomanPSMT"/>
          <w:b w:val="0"/>
          <w:bCs w:val="0"/>
          <w:color w:val="auto"/>
          <w:kern w:val="0"/>
          <w:sz w:val="28"/>
          <w:szCs w:val="28"/>
          <w:lang w:val="en-US" w:eastAsia="zh-CN" w:bidi="ar"/>
        </w:rPr>
        <w:t xml:space="preserve">2017 </w:t>
      </w:r>
      <w:r>
        <w:rPr>
          <w:rFonts w:ascii="仿宋_GB2312" w:hAnsi="仿宋_GB2312" w:eastAsia="仿宋_GB2312" w:cs="仿宋_GB2312"/>
          <w:b w:val="0"/>
          <w:bCs w:val="0"/>
          <w:color w:val="auto"/>
          <w:kern w:val="0"/>
          <w:sz w:val="28"/>
          <w:szCs w:val="28"/>
          <w:lang w:val="en-US" w:eastAsia="zh-CN" w:bidi="ar"/>
        </w:rPr>
        <w:t xml:space="preserve">年 </w:t>
      </w:r>
      <w:r>
        <w:rPr>
          <w:rFonts w:hint="default" w:ascii="TimesNewRomanPSMT" w:hAnsi="TimesNewRomanPSMT" w:eastAsia="TimesNewRomanPSMT" w:cs="TimesNewRomanPSMT"/>
          <w:b w:val="0"/>
          <w:bCs w:val="0"/>
          <w:color w:val="auto"/>
          <w:kern w:val="0"/>
          <w:sz w:val="28"/>
          <w:szCs w:val="28"/>
          <w:lang w:val="en-US" w:eastAsia="zh-CN" w:bidi="ar"/>
        </w:rPr>
        <w:t xml:space="preserve">9 </w:t>
      </w:r>
      <w:r>
        <w:rPr>
          <w:rFonts w:ascii="仿宋_GB2312" w:hAnsi="仿宋_GB2312" w:eastAsia="仿宋_GB2312" w:cs="仿宋_GB2312"/>
          <w:b w:val="0"/>
          <w:bCs w:val="0"/>
          <w:color w:val="auto"/>
          <w:kern w:val="0"/>
          <w:sz w:val="28"/>
          <w:szCs w:val="28"/>
          <w:lang w:val="en-US" w:eastAsia="zh-CN" w:bidi="ar"/>
        </w:rPr>
        <w:t>月《国 家职业资格目录》公布前合规获得的职业资</w:t>
      </w:r>
      <w:r>
        <w:rPr>
          <w:rFonts w:ascii="仿宋_GB2312" w:hAnsi="仿宋_GB2312" w:eastAsia="仿宋_GB2312" w:cs="仿宋_GB2312"/>
          <w:b w:val="0"/>
          <w:bCs w:val="0"/>
          <w:color w:val="000000"/>
          <w:kern w:val="0"/>
          <w:sz w:val="28"/>
          <w:szCs w:val="28"/>
          <w:lang w:val="en-US" w:eastAsia="zh-CN" w:bidi="ar"/>
        </w:rPr>
        <w:t>格证书）。</w:t>
      </w:r>
    </w:p>
    <w:p w14:paraId="7D290183">
      <w:pPr>
        <w:keepNext w:val="0"/>
        <w:keepLines w:val="0"/>
        <w:pageBreakBefore w:val="0"/>
        <w:widowControl w:val="0"/>
        <w:suppressLineNumbers w:val="0"/>
        <w:kinsoku/>
        <w:wordWrap/>
        <w:overflowPunct/>
        <w:topLinePunct w:val="0"/>
        <w:autoSpaceDE w:val="0"/>
        <w:autoSpaceDN w:val="0"/>
        <w:bidi w:val="0"/>
        <w:adjustRightInd/>
        <w:snapToGrid w:val="0"/>
        <w:spacing w:before="0" w:beforeAutospacing="0" w:after="0" w:afterAutospacing="0" w:line="240" w:lineRule="auto"/>
        <w:ind w:left="0" w:right="0"/>
        <w:jc w:val="both"/>
        <w:textAlignment w:val="auto"/>
        <w:rPr>
          <w:rFonts w:hint="eastAsia" w:ascii="仿宋_GB2312" w:hAnsi="仿宋_GB2312" w:eastAsia="仿宋_GB2312" w:cs="仿宋_GB2312"/>
          <w:kern w:val="2"/>
          <w:sz w:val="24"/>
          <w:szCs w:val="24"/>
          <w:lang w:val="en-US" w:eastAsia="zh-CN" w:bidi="ar"/>
        </w:rPr>
      </w:pPr>
    </w:p>
    <w:p w14:paraId="208FF5ED">
      <w:pPr>
        <w:keepNext w:val="0"/>
        <w:keepLines w:val="0"/>
        <w:pageBreakBefore w:val="0"/>
        <w:widowControl w:val="0"/>
        <w:suppressLineNumbers w:val="0"/>
        <w:kinsoku/>
        <w:wordWrap/>
        <w:overflowPunct/>
        <w:topLinePunct w:val="0"/>
        <w:autoSpaceDE w:val="0"/>
        <w:autoSpaceDN w:val="0"/>
        <w:bidi w:val="0"/>
        <w:adjustRightInd/>
        <w:snapToGrid w:val="0"/>
        <w:spacing w:before="0" w:beforeAutospacing="0" w:after="0" w:afterAutospacing="0" w:line="240" w:lineRule="auto"/>
        <w:ind w:left="0" w:right="0"/>
        <w:jc w:val="both"/>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
        </w:rPr>
        <w:t>职业技能等级分为5级：</w:t>
      </w:r>
    </w:p>
    <w:p w14:paraId="2CB71922">
      <w:pPr>
        <w:keepNext w:val="0"/>
        <w:keepLines w:val="0"/>
        <w:pageBreakBefore w:val="0"/>
        <w:widowControl w:val="0"/>
        <w:suppressLineNumbers w:val="0"/>
        <w:kinsoku/>
        <w:wordWrap/>
        <w:overflowPunct/>
        <w:topLinePunct w:val="0"/>
        <w:autoSpaceDE w:val="0"/>
        <w:autoSpaceDN w:val="0"/>
        <w:bidi w:val="0"/>
        <w:adjustRightInd/>
        <w:snapToGrid w:val="0"/>
        <w:spacing w:before="0" w:beforeAutospacing="0" w:after="0" w:afterAutospacing="0" w:line="240" w:lineRule="auto"/>
        <w:ind w:left="0" w:right="0"/>
        <w:jc w:val="both"/>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
        </w:rPr>
        <w:t>5级（初级）（初级工）</w:t>
      </w:r>
    </w:p>
    <w:p w14:paraId="1E61E804">
      <w:pPr>
        <w:keepNext w:val="0"/>
        <w:keepLines w:val="0"/>
        <w:pageBreakBefore w:val="0"/>
        <w:widowControl w:val="0"/>
        <w:suppressLineNumbers w:val="0"/>
        <w:kinsoku/>
        <w:wordWrap/>
        <w:overflowPunct/>
        <w:topLinePunct w:val="0"/>
        <w:autoSpaceDE w:val="0"/>
        <w:autoSpaceDN w:val="0"/>
        <w:bidi w:val="0"/>
        <w:adjustRightInd/>
        <w:snapToGrid w:val="0"/>
        <w:spacing w:before="0" w:beforeAutospacing="0" w:after="0" w:afterAutospacing="0" w:line="240" w:lineRule="auto"/>
        <w:ind w:left="0" w:right="0"/>
        <w:jc w:val="both"/>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
        </w:rPr>
        <w:t>4级（中级）（中级工）</w:t>
      </w:r>
    </w:p>
    <w:p w14:paraId="07EBF6F8">
      <w:pPr>
        <w:keepNext w:val="0"/>
        <w:keepLines w:val="0"/>
        <w:pageBreakBefore w:val="0"/>
        <w:widowControl w:val="0"/>
        <w:suppressLineNumbers w:val="0"/>
        <w:kinsoku/>
        <w:wordWrap/>
        <w:overflowPunct/>
        <w:topLinePunct w:val="0"/>
        <w:autoSpaceDE w:val="0"/>
        <w:autoSpaceDN w:val="0"/>
        <w:bidi w:val="0"/>
        <w:adjustRightInd/>
        <w:snapToGrid w:val="0"/>
        <w:spacing w:before="0" w:beforeAutospacing="0" w:after="0" w:afterAutospacing="0" w:line="240" w:lineRule="auto"/>
        <w:ind w:left="0" w:right="0"/>
        <w:jc w:val="both"/>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
        </w:rPr>
        <w:t>3级（高级）（高级工）（贯通可申报初级职称）</w:t>
      </w:r>
    </w:p>
    <w:p w14:paraId="7ABC6B0D">
      <w:pPr>
        <w:keepNext w:val="0"/>
        <w:keepLines w:val="0"/>
        <w:pageBreakBefore w:val="0"/>
        <w:widowControl w:val="0"/>
        <w:suppressLineNumbers w:val="0"/>
        <w:kinsoku/>
        <w:wordWrap/>
        <w:overflowPunct/>
        <w:topLinePunct w:val="0"/>
        <w:autoSpaceDE w:val="0"/>
        <w:autoSpaceDN w:val="0"/>
        <w:bidi w:val="0"/>
        <w:adjustRightInd/>
        <w:snapToGrid w:val="0"/>
        <w:spacing w:before="0" w:beforeAutospacing="0" w:after="0" w:afterAutospacing="0" w:line="240" w:lineRule="auto"/>
        <w:ind w:left="0" w:right="0"/>
        <w:jc w:val="both"/>
        <w:textAlignment w:val="auto"/>
        <w:rPr>
          <w:rFonts w:hint="eastAsia"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
        </w:rPr>
        <w:t>2级（技师）（贯通可申报中级职称）</w:t>
      </w:r>
    </w:p>
    <w:p w14:paraId="6AA2CB81">
      <w:pPr>
        <w:keepNext w:val="0"/>
        <w:keepLines w:val="0"/>
        <w:pageBreakBefore w:val="0"/>
        <w:widowControl w:val="0"/>
        <w:suppressLineNumbers w:val="0"/>
        <w:kinsoku/>
        <w:wordWrap/>
        <w:overflowPunct/>
        <w:topLinePunct w:val="0"/>
        <w:autoSpaceDE w:val="0"/>
        <w:autoSpaceDN w:val="0"/>
        <w:bidi w:val="0"/>
        <w:adjustRightInd/>
        <w:snapToGrid w:val="0"/>
        <w:spacing w:before="0" w:beforeAutospacing="0" w:after="0" w:afterAutospacing="0" w:line="240" w:lineRule="auto"/>
        <w:ind w:left="0" w:right="0"/>
        <w:jc w:val="both"/>
        <w:textAlignment w:val="auto"/>
      </w:pPr>
      <w:r>
        <w:rPr>
          <w:rFonts w:hint="eastAsia" w:ascii="仿宋_GB2312" w:hAnsi="仿宋_GB2312" w:eastAsia="仿宋_GB2312" w:cs="仿宋_GB2312"/>
          <w:kern w:val="2"/>
          <w:sz w:val="24"/>
          <w:szCs w:val="24"/>
          <w:lang w:val="en-US" w:eastAsia="zh-CN" w:bidi="ar"/>
        </w:rPr>
        <w:t>1级（高级技师）（贯通可申报高级职称）</w:t>
      </w:r>
    </w:p>
    <w:sectPr>
      <w:pgSz w:w="11906" w:h="16838"/>
      <w:pgMar w:top="1440" w:right="1086"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TimesNewRomanPSMT">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xNWFmMTgzY2Q4ZDhhM2Y1NjVjODMxN2FkZjUxNjIifQ=="/>
  </w:docVars>
  <w:rsids>
    <w:rsidRoot w:val="231C33BC"/>
    <w:rsid w:val="0DCC37D2"/>
    <w:rsid w:val="12467BF2"/>
    <w:rsid w:val="169B5FB6"/>
    <w:rsid w:val="17A0570A"/>
    <w:rsid w:val="1C7A236C"/>
    <w:rsid w:val="231C33BC"/>
    <w:rsid w:val="33216125"/>
    <w:rsid w:val="3AA13244"/>
    <w:rsid w:val="3D48199A"/>
    <w:rsid w:val="44C85896"/>
    <w:rsid w:val="4CE92E00"/>
    <w:rsid w:val="50D073A2"/>
    <w:rsid w:val="6E666367"/>
    <w:rsid w:val="77593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27"/>
      <w:ind w:left="407" w:right="414"/>
      <w:jc w:val="center"/>
      <w:outlineLvl w:val="1"/>
    </w:pPr>
    <w:rPr>
      <w:rFonts w:ascii="宋体" w:hAnsi="宋体" w:eastAsia="宋体" w:cs="宋体"/>
      <w:sz w:val="40"/>
      <w:szCs w:val="40"/>
      <w:lang w:val="zh-CN" w:eastAsia="zh-CN" w:bidi="zh-CN"/>
    </w:rPr>
  </w:style>
  <w:style w:type="character" w:default="1" w:styleId="5">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32"/>
      <w:szCs w:val="32"/>
      <w:lang w:val="zh-CN" w:eastAsia="zh-CN" w:bidi="zh-CN"/>
    </w:rPr>
  </w:style>
  <w:style w:type="paragraph" w:customStyle="1" w:styleId="6">
    <w:name w:val="Table Paragraph"/>
    <w:basedOn w:val="1"/>
    <w:qFormat/>
    <w:uiPriority w:val="1"/>
    <w:rPr>
      <w:rFonts w:ascii="宋体" w:hAnsi="宋体" w:eastAsia="宋体" w:cs="宋体"/>
      <w:lang w:val="zh-CN" w:eastAsia="zh-CN" w:bidi="zh-CN"/>
    </w:rPr>
  </w:style>
  <w:style w:type="paragraph" w:styleId="7">
    <w:name w:val="List Paragraph"/>
    <w:basedOn w:val="1"/>
    <w:qFormat/>
    <w:uiPriority w:val="1"/>
    <w:pPr>
      <w:ind w:left="386" w:right="391" w:firstLine="640"/>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561</Words>
  <Characters>564</Characters>
  <Lines>0</Lines>
  <Paragraphs>0</Paragraphs>
  <TotalTime>24</TotalTime>
  <ScaleCrop>false</ScaleCrop>
  <LinksUpToDate>false</LinksUpToDate>
  <CharactersWithSpaces>572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2022-04-14T01:06:00Z</dcterms:created>
  <dc:creator>Administrator</dc:creator>
  <cp:lastModifiedBy>WIN</cp:lastModifiedBy>
  <cp:lastPrinted>2024-11-13T00:51:00Z</cp:lastPrinted>
  <dcterms:modified xsi:type="dcterms:W3CDTF">2024-11-13T02:07:06Z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E384946C84AB444C822E698129DD3D3A_12</vt:lpwstr>
  </property>
</Properties>
</file>