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napToGrid w:val="0"/>
        <w:spacing w:before="240" w:beforeLines="0" w:line="260" w:lineRule="exact"/>
        <w:ind w:left="0" w:leftChars="0" w:right="0" w:rightChars="0" w:firstLine="0" w:firstLineChars="0"/>
        <w:jc w:val="left"/>
        <w:rPr>
          <w:rFonts w:hint="eastAsia" w:ascii="仿宋_GB2312" w:hAnsi="宋体" w:eastAsia="仿宋_GB2312"/>
          <w:b/>
          <w:sz w:val="28"/>
          <w:szCs w:val="28"/>
          <w:lang w:val="en-US" w:eastAsia="zh-CN"/>
        </w:rPr>
      </w:pPr>
      <w:r>
        <w:rPr>
          <w:rFonts w:hint="eastAsia" w:ascii="仿宋_GB2312" w:hAnsi="宋体" w:eastAsia="仿宋_GB2312"/>
          <w:b/>
          <w:sz w:val="28"/>
          <w:szCs w:val="28"/>
          <w:lang w:val="en-US" w:eastAsia="zh-CN"/>
        </w:rPr>
        <w:t>附件4</w:t>
      </w:r>
    </w:p>
    <w:p>
      <w:pPr>
        <w:snapToGrid w:val="0"/>
        <w:spacing w:before="240" w:beforeLines="0" w:line="260" w:lineRule="exact"/>
        <w:ind w:left="0" w:leftChars="0" w:right="0" w:rightChars="0" w:firstLine="0" w:firstLineChars="0"/>
        <w:jc w:val="center"/>
        <w:rPr>
          <w:rFonts w:hint="eastAsia" w:ascii="仿宋_GB2312" w:hAnsi="宋体" w:eastAsia="仿宋_GB2312"/>
          <w:b/>
          <w:sz w:val="30"/>
          <w:szCs w:val="30"/>
          <w:lang w:eastAsia="zh-CN"/>
        </w:rPr>
      </w:pPr>
      <w:r>
        <w:rPr>
          <w:rFonts w:hint="eastAsia" w:ascii="仿宋_GB2312" w:hAnsi="宋体" w:eastAsia="仿宋_GB2312"/>
          <w:b/>
          <w:sz w:val="30"/>
          <w:szCs w:val="30"/>
          <w:lang w:val="en-US" w:eastAsia="zh-CN"/>
        </w:rPr>
        <w:t>2023年度</w:t>
      </w:r>
      <w:r>
        <w:rPr>
          <w:rFonts w:hint="eastAsia" w:ascii="仿宋_GB2312" w:hAnsi="宋体" w:eastAsia="仿宋_GB2312"/>
          <w:b/>
          <w:sz w:val="30"/>
          <w:szCs w:val="30"/>
          <w:lang w:eastAsia="zh-CN"/>
        </w:rPr>
        <w:t>申报石油和化工</w:t>
      </w:r>
      <w:r>
        <w:rPr>
          <w:rFonts w:hint="eastAsia" w:ascii="仿宋_GB2312" w:hAnsi="宋体" w:eastAsia="仿宋_GB2312"/>
          <w:b/>
          <w:sz w:val="30"/>
          <w:szCs w:val="30"/>
        </w:rPr>
        <w:t>专业技术职称论文（著作）鉴定表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7"/>
        <w:gridCol w:w="131"/>
        <w:gridCol w:w="1637"/>
        <w:gridCol w:w="1560"/>
        <w:gridCol w:w="1225"/>
        <w:gridCol w:w="1225"/>
        <w:gridCol w:w="20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姓 名</w:t>
            </w:r>
          </w:p>
        </w:tc>
        <w:tc>
          <w:tcPr>
            <w:tcW w:w="17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申报专业技</w:t>
            </w:r>
          </w:p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术资格名称</w:t>
            </w:r>
          </w:p>
        </w:tc>
        <w:tc>
          <w:tcPr>
            <w:tcW w:w="445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atLeast"/>
              <w:ind w:firstLine="1440" w:firstLineChars="600"/>
              <w:jc w:val="left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专业              资格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（一）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908" w:hRule="atLeas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4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.论文是否为综述（概述）类文章？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著作是否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抄袭其他论文</w:t>
            </w:r>
            <w:r>
              <w:rPr>
                <w:rFonts w:hint="eastAsia" w:ascii="仿宋_GB2312" w:hAnsi="宋体" w:eastAsia="仿宋_GB2312"/>
                <w:sz w:val="24"/>
              </w:rPr>
              <w:t>？□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有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没有（</w:t>
            </w:r>
            <w:r>
              <w:rPr>
                <w:rFonts w:hint="eastAsia" w:ascii="仿宋_GB2312" w:hAnsi="宋体" w:eastAsia="仿宋_GB2312"/>
                <w:sz w:val="18"/>
                <w:szCs w:val="18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10" w:hRule="atLeast"/>
        </w:trPr>
        <w:tc>
          <w:tcPr>
            <w:tcW w:w="1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</w:t>
            </w:r>
          </w:p>
          <w:p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  <w:r>
              <w:rPr>
                <w:rFonts w:hint="eastAsia" w:ascii="仿宋_GB2312" w:hAnsi="宋体" w:eastAsia="仿宋_GB2312"/>
                <w:sz w:val="28"/>
                <w:szCs w:val="28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bCs/>
                <w:sz w:val="24"/>
              </w:rPr>
              <w:t>论文（著作）</w:t>
            </w:r>
            <w:r>
              <w:rPr>
                <w:rFonts w:hint="eastAsia" w:ascii="仿宋_GB2312" w:hAnsi="宋体" w:eastAsia="仿宋_GB2312"/>
                <w:sz w:val="24"/>
              </w:rPr>
              <w:t>名称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（二）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作者名次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发表时间</w:t>
            </w: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期刊名称及刊号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461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20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rPr>
                <w:rFonts w:ascii="仿宋_GB2312" w:hAnsi="宋体" w:eastAsia="仿宋_GB2312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003" w:hRule="atLeast"/>
        </w:trPr>
        <w:tc>
          <w:tcPr>
            <w:tcW w:w="14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专家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鉴定</w:t>
            </w:r>
          </w:p>
          <w:p>
            <w:pPr>
              <w:spacing w:line="320" w:lineRule="exact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意见</w:t>
            </w: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default" w:ascii="仿宋_GB2312" w:hAnsi="宋体" w:eastAsia="仿宋_GB2312"/>
                <w:sz w:val="24"/>
                <w:lang w:val="en-GB" w:eastAsia="zh-CN"/>
              </w:rPr>
              <w:t>1.</w:t>
            </w:r>
            <w:r>
              <w:rPr>
                <w:rFonts w:hint="eastAsia" w:ascii="仿宋_GB2312" w:hAnsi="宋体" w:eastAsia="仿宋_GB2312"/>
                <w:sz w:val="24"/>
              </w:rPr>
              <w:t>论文或论著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是否发表在有效期内？ 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有效期内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有效期外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/>
                <w:sz w:val="24"/>
              </w:rPr>
              <w:t xml:space="preserve">.发表期刊是否具有CN刊号、ISSN刊号？  □具有 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□不具有</w:t>
            </w:r>
          </w:p>
          <w:p>
            <w:pPr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3.以外文发表的是否附中文翻译？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否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4.</w:t>
            </w:r>
            <w:r>
              <w:rPr>
                <w:rFonts w:hint="eastAsia" w:ascii="仿宋_GB2312" w:hAnsi="宋体" w:eastAsia="仿宋_GB2312"/>
                <w:sz w:val="24"/>
              </w:rPr>
              <w:t>发表期刊是否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化工专业或相关科技刊物？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是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相关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不相关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5</w:t>
            </w:r>
            <w:r>
              <w:rPr>
                <w:rFonts w:hint="eastAsia" w:ascii="仿宋_GB2312" w:hAnsi="宋体" w:eastAsia="仿宋_GB2312"/>
                <w:sz w:val="24"/>
              </w:rPr>
              <w:t>.论文或论著内容与申报人申报专业是否相符合？□相符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宋体" w:eastAsia="仿宋_GB2312"/>
                <w:sz w:val="24"/>
              </w:rPr>
              <w:t xml:space="preserve"> □不相符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6.</w:t>
            </w:r>
            <w:r>
              <w:rPr>
                <w:rFonts w:hint="eastAsia" w:ascii="仿宋_GB2312" w:hAnsi="宋体" w:eastAsia="仿宋_GB2312"/>
                <w:sz w:val="24"/>
              </w:rPr>
              <w:t>论文或论著内容与申报人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岗位工作是否关联？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相关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不相关 </w:t>
            </w:r>
          </w:p>
          <w:p>
            <w:pPr>
              <w:widowControl/>
              <w:ind w:right="-108"/>
              <w:jc w:val="both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 xml:space="preserve">7.论文是否为非综述（概述）类文章？ 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不是</w:t>
            </w:r>
          </w:p>
          <w:p>
            <w:pPr>
              <w:widowControl/>
              <w:ind w:right="-108"/>
              <w:jc w:val="both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.是否提出新理论、新观点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、新方法、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新数据</w:t>
            </w:r>
            <w:r>
              <w:rPr>
                <w:rFonts w:hint="eastAsia" w:ascii="仿宋_GB2312" w:hAnsi="宋体" w:eastAsia="仿宋_GB2312"/>
                <w:sz w:val="24"/>
              </w:rPr>
              <w:t>？  □有    □没有</w:t>
            </w:r>
          </w:p>
          <w:p>
            <w:pPr>
              <w:jc w:val="both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.论文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或</w:t>
            </w:r>
            <w:r>
              <w:rPr>
                <w:rFonts w:hint="eastAsia" w:ascii="仿宋_GB2312" w:hAnsi="宋体" w:eastAsia="仿宋_GB2312"/>
                <w:sz w:val="24"/>
              </w:rPr>
              <w:t>著作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没有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抄袭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行为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。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</w:rPr>
              <w:t xml:space="preserve">  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是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没</w:t>
            </w:r>
            <w:r>
              <w:rPr>
                <w:rFonts w:hint="eastAsia" w:ascii="仿宋_GB2312" w:hAnsi="宋体" w:eastAsia="仿宋_GB2312" w:cs="Times New Roman"/>
                <w:sz w:val="24"/>
                <w:lang w:val="en-US" w:eastAsia="zh-CN"/>
              </w:rPr>
              <w:t>有查询报告</w:t>
            </w:r>
            <w:r>
              <w:rPr>
                <w:rFonts w:hint="eastAsia" w:ascii="仿宋_GB2312" w:hAnsi="宋体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hAnsi="宋体" w:eastAsia="仿宋_GB2312"/>
                <w:sz w:val="24"/>
              </w:rPr>
              <w:t>□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不清楚</w:t>
            </w:r>
          </w:p>
          <w:p>
            <w:pPr>
              <w:widowControl/>
              <w:ind w:right="-108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.是否具备实践指导意义？  □有   □没有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56" w:hRule="atLeast"/>
        </w:trPr>
        <w:tc>
          <w:tcPr>
            <w:tcW w:w="1418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765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评定等级：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>备注</w:t>
            </w:r>
            <w:r>
              <w:rPr>
                <w:rFonts w:hint="eastAsia" w:ascii="仿宋_GB2312" w:hAnsi="宋体" w:eastAsia="仿宋_GB2312"/>
                <w:sz w:val="24"/>
                <w:szCs w:val="24"/>
              </w:rPr>
              <w:t>：</w:t>
            </w:r>
          </w:p>
          <w:p>
            <w:pPr>
              <w:widowControl/>
              <w:ind w:right="34"/>
              <w:jc w:val="both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          </w:t>
            </w:r>
          </w:p>
          <w:p>
            <w:pPr>
              <w:widowControl/>
              <w:ind w:right="34"/>
              <w:jc w:val="both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  <w:lang w:val="en-US" w:eastAsia="zh-CN"/>
              </w:rPr>
              <w:t xml:space="preserve">               专家签名：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960" w:leftChars="0" w:hanging="960" w:hangingChars="300"/>
        <w:textAlignment w:val="auto"/>
        <w:rPr>
          <w:rFonts w:hint="eastAsia" w:ascii="仿宋_GB2312" w:eastAsia="仿宋_GB2312"/>
          <w:b/>
          <w:bCs/>
          <w:sz w:val="30"/>
          <w:szCs w:val="30"/>
        </w:rPr>
      </w:pP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eastAsia="仿宋_GB2312"/>
          <w:b/>
          <w:bCs/>
          <w:sz w:val="30"/>
          <w:szCs w:val="30"/>
        </w:rPr>
        <w:t>说明：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hanging="4" w:firstLineChars="0"/>
        <w:textAlignment w:val="auto"/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    1.论文评定等级分为优秀、良好、合格、不合格，并由2名评委现场签字确认；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602" w:firstLineChars="200"/>
        <w:textAlignment w:val="auto"/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 xml:space="preserve"> 2.</w:t>
      </w:r>
      <w:r>
        <w:rPr>
          <w:rFonts w:hint="eastAsia" w:ascii="仿宋_GB2312" w:eastAsia="仿宋_GB2312"/>
          <w:b/>
          <w:bCs/>
          <w:sz w:val="30"/>
          <w:szCs w:val="30"/>
        </w:rPr>
        <w:t>论文鉴定需提交代表申报人最高水平的刊物，高级为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第一作者</w:t>
      </w:r>
      <w:r>
        <w:rPr>
          <w:rFonts w:hint="eastAsia" w:ascii="仿宋_GB2312" w:eastAsia="仿宋_GB2312"/>
          <w:b/>
          <w:bCs/>
          <w:sz w:val="30"/>
          <w:szCs w:val="30"/>
        </w:rPr>
        <w:t>2篇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；中级为第一作者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1篇</w:t>
      </w:r>
      <w:r>
        <w:rPr>
          <w:rFonts w:hint="eastAsia" w:ascii="仿宋_GB2312" w:eastAsia="仿宋_GB2312"/>
          <w:b/>
          <w:bCs/>
          <w:sz w:val="30"/>
          <w:szCs w:val="30"/>
        </w:rPr>
        <w:t>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⑴提交的论文应公开发表在具有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CN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号、</w:t>
      </w:r>
      <w:r>
        <w:rPr>
          <w:rFonts w:hint="eastAsia" w:ascii="仿宋_GB2312" w:hAnsi="宋体" w:eastAsia="仿宋_GB2312"/>
          <w:b/>
          <w:bCs/>
          <w:sz w:val="30"/>
          <w:szCs w:val="30"/>
          <w:lang w:val="en-US" w:eastAsia="zh-CN"/>
        </w:rPr>
        <w:t>ISSN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号的专业期刊上，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其发表的论文必须提供原件，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外文版须附中文翻译。学历学位在读期间或作者单位为学校（工作单位不是该校）的论文不能作为有效论文提交。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eastAsia="zh-CN"/>
        </w:rPr>
        <w:t>⑵</w:t>
      </w:r>
      <w:r>
        <w:rPr>
          <w:rFonts w:hint="eastAsia" w:ascii="仿宋_GB2312" w:hAnsi="新宋体" w:eastAsia="仿宋_GB2312" w:cs="宋体"/>
          <w:b/>
          <w:bCs/>
          <w:color w:val="auto"/>
          <w:kern w:val="0"/>
          <w:sz w:val="30"/>
          <w:szCs w:val="30"/>
          <w:lang w:val="en-US" w:eastAsia="zh-CN"/>
        </w:rPr>
        <w:t>国内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须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在国家新闻出版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管理部门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网站进行合法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性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查询，并提供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物的查询截图。⑶提交的论文须在主流数据库进行检索，并提供论文检索页面截图（包含网站、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物名称、论文标题、作者姓名及排名、期</w:t>
      </w:r>
      <w:r>
        <w:rPr>
          <w:rFonts w:hint="eastAsia" w:ascii="仿宋_GB2312" w:hAnsi="宋体" w:eastAsia="仿宋_GB2312"/>
          <w:b/>
          <w:bCs/>
          <w:sz w:val="30"/>
          <w:szCs w:val="30"/>
        </w:rPr>
        <w:t>刊刊</w:t>
      </w:r>
      <w:r>
        <w:rPr>
          <w:rFonts w:hint="eastAsia" w:ascii="仿宋_GB2312" w:hAnsi="宋体" w:eastAsia="仿宋_GB2312"/>
          <w:b/>
          <w:bCs/>
          <w:sz w:val="30"/>
          <w:szCs w:val="30"/>
          <w:lang w:eastAsia="zh-CN"/>
        </w:rPr>
        <w:t>号等信息的截图）并附上网址。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30"/>
          <w:szCs w:val="30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此表格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基本信息由申报人填写，与申报材料一同送评。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</w:rPr>
        <w:t>鉴定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意见</w:t>
      </w:r>
      <w:r>
        <w:rPr>
          <w:rFonts w:hint="eastAsia" w:ascii="仿宋_GB2312" w:eastAsia="仿宋_GB2312"/>
          <w:b/>
          <w:bCs/>
          <w:sz w:val="30"/>
          <w:szCs w:val="30"/>
        </w:rPr>
        <w:t>由评委会组织专家</w:t>
      </w:r>
      <w:r>
        <w:rPr>
          <w:rFonts w:hint="eastAsia" w:ascii="仿宋_GB2312" w:eastAsia="仿宋_GB2312"/>
          <w:b/>
          <w:bCs/>
          <w:sz w:val="30"/>
          <w:szCs w:val="30"/>
          <w:lang w:eastAsia="zh-CN"/>
        </w:rPr>
        <w:t>评定。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不在有效期内发表的论著判定为不合格。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在不具备刊号的刊物上发表的论著判定为不合格。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在外文期刊上发表，不按要求附中文翻译的可判定为不合格。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在非化工专业或相关科技刊物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上发表的论著可判定为不合格，专家鉴定栏中符合度较好的，最高评为合格。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论文或论著内容与申报人申报专业不相符合的，可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判定为不合格，虽与申报专业不相符，但其他内容符合度较好的，最高评为合格。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论文或论著内容与申报人岗位工作不相关的，可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判定为不合格，但其他内容符合度较好的，最高评为合格。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论文为综述（概述）类文章的</w:t>
      </w:r>
      <w:r>
        <w:rPr>
          <w:rFonts w:hint="eastAsia" w:ascii="仿宋_GB2312" w:hAnsi="宋体" w:eastAsia="仿宋_GB2312"/>
          <w:sz w:val="24"/>
          <w:lang w:val="en-US" w:eastAsia="zh-CN"/>
        </w:rPr>
        <w:t>，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可</w:t>
      </w: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判定为不合格，作为研发项目的依据，对相关技术做出全面论述和分析的可以判定为合格。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eastAsia="仿宋_GB2312"/>
          <w:b/>
          <w:bCs/>
          <w:sz w:val="30"/>
          <w:szCs w:val="30"/>
          <w:lang w:val="en-US" w:eastAsia="zh-CN"/>
        </w:rPr>
        <w:t>1-6项均符合要求，具有</w:t>
      </w: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新理论、新观点、新方法、新数据之一，对实践有指导意义的，可以判定为良好或优秀。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288" w:lineRule="auto"/>
        <w:ind w:left="0" w:leftChars="0" w:firstLine="575" w:firstLineChars="191"/>
        <w:textAlignment w:val="auto"/>
        <w:rPr>
          <w:rFonts w:hint="eastAsia" w:ascii="仿宋_GB2312" w:eastAsia="仿宋_GB2312"/>
          <w:b/>
          <w:bCs/>
          <w:sz w:val="24"/>
          <w:lang w:eastAsia="zh-CN"/>
        </w:rPr>
      </w:pPr>
      <w:r>
        <w:rPr>
          <w:rFonts w:hint="eastAsia" w:ascii="仿宋_GB2312" w:hAnsi="Times New Roman" w:eastAsia="仿宋_GB2312" w:cs="Times New Roman"/>
          <w:b/>
          <w:bCs/>
          <w:sz w:val="30"/>
          <w:szCs w:val="30"/>
          <w:lang w:val="en-US" w:eastAsia="zh-CN"/>
        </w:rPr>
        <w:t>对实践没有指导意义或指导作用不大的，可以判定为不超过合格等级。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286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default"/>
    <w:sig w:usb0="000002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A0CEC19"/>
    <w:multiLevelType w:val="singleLevel"/>
    <w:tmpl w:val="CA0CEC19"/>
    <w:lvl w:ilvl="0" w:tentative="0">
      <w:start w:val="3"/>
      <w:numFmt w:val="decimal"/>
      <w:suff w:val="nothing"/>
      <w:lvlText w:val="%1、"/>
      <w:lvlJc w:val="left"/>
      <w:pPr>
        <w:ind w:left="848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IxNWFmMTgzY2Q4ZDhhM2Y1NjVjODMxN2FkZjUxNjIifQ=="/>
  </w:docVars>
  <w:rsids>
    <w:rsidRoot w:val="00172A27"/>
    <w:rsid w:val="015069CF"/>
    <w:rsid w:val="04B93A4E"/>
    <w:rsid w:val="05140D55"/>
    <w:rsid w:val="148C31B1"/>
    <w:rsid w:val="1A1006AC"/>
    <w:rsid w:val="1AC005E1"/>
    <w:rsid w:val="1C8534DC"/>
    <w:rsid w:val="1DE75BC8"/>
    <w:rsid w:val="1E0E207F"/>
    <w:rsid w:val="200B7D44"/>
    <w:rsid w:val="203B5BEF"/>
    <w:rsid w:val="217F31C7"/>
    <w:rsid w:val="224D21AD"/>
    <w:rsid w:val="2449365A"/>
    <w:rsid w:val="25B12B77"/>
    <w:rsid w:val="27DF1927"/>
    <w:rsid w:val="27F900D1"/>
    <w:rsid w:val="2AE73A68"/>
    <w:rsid w:val="2C923308"/>
    <w:rsid w:val="2F361780"/>
    <w:rsid w:val="2F54606C"/>
    <w:rsid w:val="30304487"/>
    <w:rsid w:val="3085167D"/>
    <w:rsid w:val="31531524"/>
    <w:rsid w:val="365F72B7"/>
    <w:rsid w:val="3DF53E8E"/>
    <w:rsid w:val="3EF471A5"/>
    <w:rsid w:val="41A943F1"/>
    <w:rsid w:val="42C20E47"/>
    <w:rsid w:val="468E59F9"/>
    <w:rsid w:val="492D4E66"/>
    <w:rsid w:val="497D3053"/>
    <w:rsid w:val="564E633E"/>
    <w:rsid w:val="609F3BEC"/>
    <w:rsid w:val="617F582C"/>
    <w:rsid w:val="6B0C6FB1"/>
    <w:rsid w:val="6CAC4BC9"/>
    <w:rsid w:val="71541894"/>
    <w:rsid w:val="7B8F796B"/>
    <w:rsid w:val="7BB728F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6">
    <w:name w:val="Default Paragraph Font"/>
    <w:link w:val="7"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snapToGrid w:val="0"/>
      <w:spacing w:line="500" w:lineRule="atLeast"/>
      <w:ind w:firstLine="500" w:firstLineChars="200"/>
    </w:pPr>
    <w:rPr>
      <w:sz w:val="25"/>
      <w:szCs w:val="20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paragraph" w:customStyle="1" w:styleId="7">
    <w:name w:val=" Char Char Char Char Char Char1 Char"/>
    <w:basedOn w:val="1"/>
    <w:link w:val="6"/>
    <w:qFormat/>
    <w:uiPriority w:val="0"/>
    <w:pPr>
      <w:widowControl/>
      <w:spacing w:after="160" w:afterLines="0" w:line="240" w:lineRule="exact"/>
      <w:jc w:val="left"/>
    </w:pPr>
  </w:style>
  <w:style w:type="character" w:styleId="8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1303</Words>
  <Characters>1344</Characters>
  <Lines>0</Lines>
  <Paragraphs>0</Paragraphs>
  <TotalTime>3</TotalTime>
  <ScaleCrop>false</ScaleCrop>
  <LinksUpToDate>false</LinksUpToDate>
  <CharactersWithSpaces>1531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2012-06-06T01:30:00Z</dcterms:created>
  <dc:creator>lenovo</dc:creator>
  <cp:lastModifiedBy>WIN</cp:lastModifiedBy>
  <cp:lastPrinted>2016-06-16T07:00:00Z</cp:lastPrinted>
  <dcterms:modified xsi:type="dcterms:W3CDTF">2023-10-31T05:07:20Z</dcterms:modified>
  <dc:title>附件1：</dc:title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A5ABF6B253E749A79529D0796663D4E8</vt:lpwstr>
  </property>
</Properties>
</file>